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84" w:rsidRPr="00C46384" w:rsidRDefault="00C46384" w:rsidP="00C463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2021-2022</w:t>
      </w:r>
      <w:bookmarkStart w:id="0" w:name="_GoBack"/>
      <w:bookmarkEnd w:id="0"/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 xml:space="preserve"> EĞİTİM-ÖĞRETİM YILI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YAZ OKULUNDA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FARKLI ÜNİVERSİTELERDEN DERS ALINMASI HAKKINDA DUYURU</w:t>
      </w:r>
    </w:p>
    <w:p w:rsidR="00C46384" w:rsidRPr="00C46384" w:rsidRDefault="00C46384" w:rsidP="00C4638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Yaz okulu kapsamında Fakültemizde açılmayan derslerin, farklı üniversitelerden alınmasında YÖK’ün ve Atılım Üniversitesi’nin ilgili yönetmelikleri, Senato kararları ve ilgili diğer mevzuat, karar ve de esaslar uygulanacaktır.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Bu kapsamda (henüz Fakülte web sayfasında denklik açıklaması yapılmamış) farklı üniversitelerden ders almak isteyen öğrencilerimizin başvurularında;</w:t>
      </w:r>
    </w:p>
    <w:p w:rsidR="00C46384" w:rsidRPr="00C46384" w:rsidRDefault="00C46384" w:rsidP="00C4638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</w:pPr>
      <w:proofErr w:type="gramStart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>hangi</w:t>
      </w:r>
      <w:proofErr w:type="gramEnd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 xml:space="preserve"> hukuk fakültesinden,</w:t>
      </w:r>
    </w:p>
    <w:p w:rsidR="00C46384" w:rsidRPr="00C46384" w:rsidRDefault="00C46384" w:rsidP="00C4638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</w:pPr>
      <w:proofErr w:type="gramStart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>hangi</w:t>
      </w:r>
      <w:proofErr w:type="gramEnd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 xml:space="preserve"> ders/dersleri almak istediklerini belirtmesi,</w:t>
      </w:r>
    </w:p>
    <w:p w:rsidR="00C46384" w:rsidRPr="00C46384" w:rsidRDefault="00C46384" w:rsidP="00C4638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</w:pPr>
      <w:proofErr w:type="gramStart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>alınmak</w:t>
      </w:r>
      <w:proofErr w:type="gramEnd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 xml:space="preserve"> istenen derslerin alınacak Üniversitedeki kodlarını, içeriklerini, haftalık ders saatlerini, </w:t>
      </w:r>
      <w:proofErr w:type="spellStart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>AKTS’lerini</w:t>
      </w:r>
      <w:proofErr w:type="spellEnd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 xml:space="preserve"> gösteren resmi web sayfası çıktılarını başvurularına eklemeleri,</w:t>
      </w:r>
    </w:p>
    <w:p w:rsidR="00C46384" w:rsidRPr="00C46384" w:rsidRDefault="00C46384" w:rsidP="00C4638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</w:pPr>
      <w:proofErr w:type="gramStart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>ders</w:t>
      </w:r>
      <w:proofErr w:type="gramEnd"/>
      <w:r w:rsidRPr="00C46384">
        <w:rPr>
          <w:rFonts w:ascii="Helvetica" w:eastAsia="Times New Roman" w:hAnsi="Helvetica" w:cs="Times New Roman"/>
          <w:color w:val="363636"/>
          <w:sz w:val="21"/>
          <w:szCs w:val="21"/>
          <w:lang w:eastAsia="tr-TR"/>
        </w:rPr>
        <w:t xml:space="preserve"> alınacak üniversitede yaz okulu eğitiminin hangi şekilde (yüz yüze-uzaktan eğitim) yapılacağı hususunu belirtmeleri zorunludur.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proofErr w:type="gramStart"/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Bu bilgilendirmeler sonrasında, dışarıdan ders alınmak istenilen </w:t>
      </w: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Üniversiteler ve dersler</w:t>
      </w: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i ile ilgili, yukarıda belirtilen düzenlemelerde aranılan koşullar (</w:t>
      </w: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örneğin söz konusu ders veya derslerin Fakültemizde açılmamış olması, ders alınacak Fakültenin giriş taban puanının  Fakültemizin giriş taban puanından düşük olmaması, dersin haftalık ders saati/kredisi ile içeriğinin uygun olması gibi)</w:t>
      </w: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 xml:space="preserve"> ve diğer hususlarda yapılacak -denklik- değerlendirme sonuçları, Fakülte web sayfasında ilanen duyurulacaktır. </w:t>
      </w:r>
      <w:proofErr w:type="gramEnd"/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Dolayısıyla Fakülte web sayfasında </w:t>
      </w: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zaten, denklik duyurusu yapılmış</w:t>
      </w: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Üniversite ve derslere ilişkin tekrar herhangi bir başvuruya gerek olmayacaktır.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UYARILAR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1. DİKKAT: Fakülte WEB sayfasında yapılacak ilanlar sadece derslerin denk olduğunu gösterir. Bunu dışında somut olarak öğrencinin belirtilen ders/dersleri almaya hakkı olduğunu göstermez.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2. Genel olarak ders alabilmeye, özel olarak da yaz okulunda dışarıdan ders alabilmeye ilişkin mevcut bütün (YÖK, Atılım Üniversitesi, senato kararları</w:t>
      </w:r>
      <w:proofErr w:type="gramStart"/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..</w:t>
      </w:r>
      <w:proofErr w:type="gramEnd"/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 xml:space="preserve"> </w:t>
      </w:r>
      <w:proofErr w:type="spellStart"/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vb</w:t>
      </w:r>
      <w:proofErr w:type="spellEnd"/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) düzenlemelerdeki kurallara ve koşullara uymak öğrencilerimizin kendi sorumluluklarındadır. Kurallara aykırılık durumunda ve denklik değerlendirmesi hiç yapılmadan veya olumlu sonuçlanmadan  öğrencilerimizin dışarıdan aldıkları ders/derslere ilişkin getirecekleri notlar geçerli sayılmayacaktır.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3. Öğrencilerimizin Fakülte web sayfasında Yaz Okulunda dışarıdan alınacak derslere ilişkin –denklik- duyurularını dikkatle takip etmelerini, bu duyuruların kapsamı dışında kalan dışarıdan ders alma taleplerini ise, yukarıdaki usule uygun olarak gerçekleştirmelerini önemle rica ederiz.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  <w:t> </w:t>
      </w:r>
    </w:p>
    <w:p w:rsid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</w:pPr>
      <w:r w:rsidRPr="00C46384"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 xml:space="preserve">4. Aynı anda farklı 2 ilden ders almak </w:t>
      </w:r>
      <w:r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t>mümkün değildir. Buna aykırı davranıldığı takdirde farklı ilden alınan derslerin notları geçersiz sayılacaktır.</w:t>
      </w:r>
    </w:p>
    <w:p w:rsidR="00C46384" w:rsidRPr="00C46384" w:rsidRDefault="00C46384" w:rsidP="00C463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262626"/>
          <w:sz w:val="21"/>
          <w:szCs w:val="21"/>
          <w:lang w:eastAsia="tr-TR"/>
        </w:rPr>
      </w:pPr>
      <w:r>
        <w:rPr>
          <w:rFonts w:ascii="Helvetica" w:eastAsia="Times New Roman" w:hAnsi="Helvetica" w:cs="Times New Roman"/>
          <w:b/>
          <w:bCs/>
          <w:color w:val="262626"/>
          <w:sz w:val="21"/>
          <w:szCs w:val="21"/>
          <w:lang w:eastAsia="tr-TR"/>
        </w:rPr>
        <w:lastRenderedPageBreak/>
        <w:t>5. Bundan sonra yeni talepler gelmesi halinde, bu talepler neticesinde verilecek denklik kararları da ayrıca duyurulacaktır. Öğrencilerin güncellemeleri takip etmelerinde yarar vardır.</w:t>
      </w:r>
    </w:p>
    <w:p w:rsidR="00A84864" w:rsidRDefault="00A84864"/>
    <w:sectPr w:rsidR="00A8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51C9"/>
    <w:multiLevelType w:val="multilevel"/>
    <w:tmpl w:val="A39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84"/>
    <w:rsid w:val="00A84864"/>
    <w:rsid w:val="00C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F653"/>
  <w15:chartTrackingRefBased/>
  <w15:docId w15:val="{9343D1C4-377B-4DE4-9939-A8B4002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6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2022-06-20T12:06:00Z</dcterms:created>
  <dcterms:modified xsi:type="dcterms:W3CDTF">2022-06-20T12:09:00Z</dcterms:modified>
</cp:coreProperties>
</file>